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A14A4D" w14:paraId="3EA10BF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A50C127" w14:textId="77777777" w:rsidR="00A14A4D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70ED227" w14:textId="77777777" w:rsidR="00A14A4D" w:rsidRDefault="00000000">
            <w:pPr>
              <w:spacing w:after="0" w:line="240" w:lineRule="auto"/>
            </w:pPr>
            <w:r>
              <w:t>26750</w:t>
            </w:r>
          </w:p>
        </w:tc>
      </w:tr>
      <w:tr w:rsidR="00A14A4D" w14:paraId="605872D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354EEDA" w14:textId="77777777" w:rsidR="00A14A4D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C5BFF28" w14:textId="77777777" w:rsidR="00A14A4D" w:rsidRDefault="00000000">
            <w:pPr>
              <w:spacing w:after="0" w:line="240" w:lineRule="auto"/>
            </w:pPr>
            <w:r>
              <w:t>GRAD OTOČAC</w:t>
            </w:r>
          </w:p>
        </w:tc>
      </w:tr>
      <w:tr w:rsidR="00A14A4D" w14:paraId="039B255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C3A0BED" w14:textId="77777777" w:rsidR="00A14A4D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9E865EE" w14:textId="77777777" w:rsidR="00A14A4D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71F45830" w14:textId="77777777" w:rsidR="00A14A4D" w:rsidRDefault="00000000">
      <w:r>
        <w:br/>
      </w:r>
    </w:p>
    <w:p w14:paraId="45E8249F" w14:textId="77777777" w:rsidR="00A14A4D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5D1B2E9" w14:textId="77777777" w:rsidR="00A14A4D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8C99BF8" w14:textId="77777777" w:rsidR="00A14A4D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9712E5E" w14:textId="77777777" w:rsidR="00A14A4D" w:rsidRDefault="00A14A4D"/>
    <w:p w14:paraId="460CAB9B" w14:textId="77777777" w:rsidR="00A14A4D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F2042E1" w14:textId="77777777" w:rsidR="00A14A4D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14A4D" w14:paraId="2338F3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2AF51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CA0C0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AFB5EC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30636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2198A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4A8766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4A4D" w14:paraId="701721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DD80DE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A5A591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D96D3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1FECE6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3.795.932,63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D021FF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4.266.308,15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B529F2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112,4</w:t>
            </w:r>
          </w:p>
        </w:tc>
      </w:tr>
      <w:tr w:rsidR="00A14A4D" w14:paraId="2C20F9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7D4210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5C25DF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25AF7C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C9E8DC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2.763.929,11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F71E56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2.780.260,00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3779F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100,6</w:t>
            </w:r>
          </w:p>
        </w:tc>
      </w:tr>
      <w:tr w:rsidR="00A14A4D" w14:paraId="7A1549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0930C8" w14:textId="77777777" w:rsidR="00A14A4D" w:rsidRDefault="00A14A4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A11D67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1F3D3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23C5B5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1.032.003,52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64ABB7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1.486.048,15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1C41CD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144,0</w:t>
            </w:r>
          </w:p>
        </w:tc>
      </w:tr>
      <w:tr w:rsidR="00A14A4D" w14:paraId="284A73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BB9416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2CC62A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BB1F9D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B88227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8.615,18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66143E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2374F3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0,8</w:t>
            </w:r>
          </w:p>
        </w:tc>
      </w:tr>
      <w:tr w:rsidR="00A14A4D" w14:paraId="5F3C67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46A486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228F7B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E7439D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19C775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483.829,48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05C33A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1.555.677,95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1F34E2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321,5</w:t>
            </w:r>
          </w:p>
        </w:tc>
      </w:tr>
      <w:tr w:rsidR="00A14A4D" w14:paraId="40EFAF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49D988" w14:textId="77777777" w:rsidR="00A14A4D" w:rsidRDefault="00A14A4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2AFA4A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D0D873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0C9F60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475.214,30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4AF96D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1.555.613,25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4F6C04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327,3</w:t>
            </w:r>
          </w:p>
        </w:tc>
      </w:tr>
      <w:tr w:rsidR="00A14A4D" w14:paraId="7DD62A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35E124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0B091B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692147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2EA424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5BE2F3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1E775D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14A4D" w14:paraId="0AC0CA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3BFDA9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7EF677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C2044D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2BEC58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62.635,06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16B4CD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62.635,06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22E53B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A14A4D" w14:paraId="7BEE82D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AB29E" w14:textId="77777777" w:rsidR="00A14A4D" w:rsidRDefault="00A14A4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431CEF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B9C5E1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92666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62.635,06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72F2D8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62.635,06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DB0F80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A14A4D" w14:paraId="6BE332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1DFD6C" w14:textId="77777777" w:rsidR="00A14A4D" w:rsidRDefault="00A14A4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8FDC33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FF3A57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6DDCB9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B95E43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132.200,16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62299C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60B55EF" w14:textId="77777777" w:rsidR="00A14A4D" w:rsidRDefault="00A14A4D">
      <w:pPr>
        <w:spacing w:after="0"/>
      </w:pPr>
    </w:p>
    <w:p w14:paraId="7BEC6A64" w14:textId="77777777" w:rsidR="00A14A4D" w:rsidRDefault="00000000">
      <w:r>
        <w:t>Financijski izvještaj Grada Otočca za razdoblje od 1. siječnja do 30. lipnja 2026. godine, konsolidiran je sa svim ostvarenim  prihodima  i rashodima proračunskih korisnika. Konsolidirani su svi proračunski korisnici Grada Gospića evidentirani u Registru proračunskih i izvanproračunskih korisnika Ministarstva financija:</w:t>
      </w:r>
    </w:p>
    <w:p w14:paraId="37BA83DA" w14:textId="77777777" w:rsidR="00A14A4D" w:rsidRDefault="00000000">
      <w:pPr>
        <w:pStyle w:val="Odlomakpopisa"/>
        <w:numPr>
          <w:ilvl w:val="0"/>
          <w:numId w:val="1"/>
        </w:numPr>
      </w:pPr>
      <w:r>
        <w:t>Javna ustanova „Narodna knjižnica Otočac“, ostvaruje manjak u tekućem razdoblju u iznosu od 4.147,73€.</w:t>
      </w:r>
    </w:p>
    <w:p w14:paraId="0961100D" w14:textId="77777777" w:rsidR="00A14A4D" w:rsidRDefault="00000000">
      <w:pPr>
        <w:pStyle w:val="Odlomakpopisa"/>
        <w:numPr>
          <w:ilvl w:val="0"/>
          <w:numId w:val="1"/>
        </w:numPr>
      </w:pPr>
      <w:r>
        <w:lastRenderedPageBreak/>
        <w:t>Dječji vrtić „</w:t>
      </w:r>
      <w:proofErr w:type="spellStart"/>
      <w:r>
        <w:t>Ciciban</w:t>
      </w:r>
      <w:proofErr w:type="spellEnd"/>
      <w:r>
        <w:t>“ Otočac, ostvaruje manjak u tekućem razdoblju u iznosu od 20.061,72 €.</w:t>
      </w:r>
    </w:p>
    <w:p w14:paraId="6BB16BA2" w14:textId="77777777" w:rsidR="00A14A4D" w:rsidRDefault="00000000">
      <w:pPr>
        <w:pStyle w:val="Odlomakpopisa"/>
        <w:numPr>
          <w:ilvl w:val="0"/>
          <w:numId w:val="1"/>
        </w:numPr>
      </w:pPr>
      <w:r>
        <w:t>Gacko pučko otvoreno učilište Otočac, ostvaruje višak u tekućem razdoblju u iznosu od 3.649,39 €.</w:t>
      </w:r>
    </w:p>
    <w:p w14:paraId="107B0670" w14:textId="77777777" w:rsidR="00A14A4D" w:rsidRDefault="00000000">
      <w:pPr>
        <w:pStyle w:val="Odlomakpopisa"/>
        <w:numPr>
          <w:ilvl w:val="0"/>
          <w:numId w:val="1"/>
        </w:numPr>
      </w:pPr>
      <w:r>
        <w:t>Centar za pomoć u kući Grada Otočca, ostvaruje višak u tekućem razdoblju u iznosu od 2.590,27 €</w:t>
      </w:r>
    </w:p>
    <w:p w14:paraId="5AB2AF68" w14:textId="77777777" w:rsidR="00A14A4D" w:rsidRDefault="00000000">
      <w:r>
        <w:t>Grad Otočac je od 01. siječnja 2026. godine u sustavu je potpune Riznice te se financijske transakcije obavljaju preko jedinstvenog računa proračuna. </w:t>
      </w:r>
    </w:p>
    <w:p w14:paraId="140015E1" w14:textId="77777777" w:rsidR="00A14A4D" w:rsidRDefault="00000000">
      <w:r>
        <w:br/>
      </w:r>
    </w:p>
    <w:p w14:paraId="62541E32" w14:textId="77777777" w:rsidR="00A14A4D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14A4D" w14:paraId="23CC44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174C9D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304D1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3CA157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65129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46178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C0EB0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4A4D" w14:paraId="5FD3D1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6B4A7E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15A5A2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7FF405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C13830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1.472.382,37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955124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1.756.596,19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56CBC4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119,3</w:t>
            </w:r>
          </w:p>
        </w:tc>
      </w:tr>
    </w:tbl>
    <w:p w14:paraId="5C08D2EA" w14:textId="77777777" w:rsidR="00A14A4D" w:rsidRDefault="00A14A4D">
      <w:pPr>
        <w:spacing w:after="0"/>
      </w:pPr>
    </w:p>
    <w:p w14:paraId="5990555D" w14:textId="77777777" w:rsidR="00A14A4D" w:rsidRDefault="00000000">
      <w:r>
        <w:t>Povećanje na kontu 61 – Prihodi od poreza proizlazi iz povećanja ostvarenih prihoda u izvještajnom razdoblju. U prethodnoj godini ostvareni prihodi iznosili su 1.472.382,37 EUR, dok u tekućoj godini iznose 1.756.596,19 EUR, što predstavlja povećanje u iznosu od 284.213,82 EUR, odnosno povećanje od 119,3%. Povećanje prihoda najvećim dijelom rezultat je većeg ostvarenja prihoda od poreza na dohodak u odnosu na prethodno izvještajno razdoblje. Ostvareni rast poreznih prihoda posljedica je povoljnijih kretanja u prihodima od poreza na dohodak, čime je ostvaren veći priljev sredstava u proračun u odnosu na prethodnu godinu.</w:t>
      </w:r>
    </w:p>
    <w:p w14:paraId="1127C261" w14:textId="77777777" w:rsidR="00A14A4D" w:rsidRDefault="00A14A4D"/>
    <w:p w14:paraId="3D58C4CD" w14:textId="77777777" w:rsidR="00A14A4D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14A4D" w14:paraId="7AE30A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2C3D8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9FE100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87AB4B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34479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6A2E9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48D06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4A4D" w14:paraId="181AC0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2427B5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1434C7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399109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7DB87A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1AC843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832.102,04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815EB2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346,7</w:t>
            </w:r>
          </w:p>
        </w:tc>
      </w:tr>
    </w:tbl>
    <w:p w14:paraId="55667F5C" w14:textId="77777777" w:rsidR="00A14A4D" w:rsidRDefault="00A14A4D">
      <w:pPr>
        <w:spacing w:after="0"/>
      </w:pPr>
    </w:p>
    <w:p w14:paraId="5830BD6B" w14:textId="4D40D73D" w:rsidR="00A14A4D" w:rsidRDefault="00000000">
      <w:r>
        <w:t xml:space="preserve">Povećanje na kontu 63821 – Ostvareni prihodi temeljem prijenosa EU sredstava Mehanizma za oporavak i otpornost (NPOO – zajam) proizlazi iz ostvarenih prihoda u izvještajnom razdoblju. U prethodnoj godini ostvareni prihodi iznosili su 240.000,00 EUR, dok su u tekućoj godini ostvareni prihodi u iznosu od 832.102,04 EUR, što predstavlja povećanje od 346,7%. Ostvareni prihodi odnose se na prijenose temeljem prijenosa EU sredstava Mehanizma za oporavak i otpornost (NPOO – zajam) sredstva su namijenjena za provedbu projekta izgradnje i opremanja područnog vrtića s kuhinjom, a ostvarena su kao predujam, te je iznos </w:t>
      </w:r>
      <w:r w:rsidR="003C56D4">
        <w:t>realiziran</w:t>
      </w:r>
      <w:r>
        <w:t xml:space="preserve"> za navedeni projekt.</w:t>
      </w:r>
    </w:p>
    <w:p w14:paraId="60DF9945" w14:textId="77777777" w:rsidR="00A14A4D" w:rsidRDefault="00000000">
      <w:r>
        <w:t> </w:t>
      </w:r>
    </w:p>
    <w:p w14:paraId="7D07DF61" w14:textId="77777777" w:rsidR="00A14A4D" w:rsidRDefault="00A14A4D"/>
    <w:p w14:paraId="32117AFC" w14:textId="77777777" w:rsidR="00A14A4D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14A4D" w14:paraId="561F8E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7DB01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899DD0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781657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E0961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BABF27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4312E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4A4D" w14:paraId="1DB92E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B50C56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A700E2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D99612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5F24AE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6.661,46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0EEF85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47.510,98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077FA8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713,2</w:t>
            </w:r>
          </w:p>
        </w:tc>
      </w:tr>
    </w:tbl>
    <w:p w14:paraId="64401968" w14:textId="77777777" w:rsidR="00A14A4D" w:rsidRDefault="00A14A4D">
      <w:pPr>
        <w:spacing w:after="0"/>
      </w:pPr>
    </w:p>
    <w:p w14:paraId="0A1B88F8" w14:textId="77777777" w:rsidR="00A14A4D" w:rsidRDefault="00000000">
      <w:r>
        <w:t>Povećanje na kontu 6531 – Prihodi od upravnih i administrativnih pristojbi proizlazi iz povećanja ostvarenih prihoda u izvještajnom razdoblju. U prethodnoj godini ostvareni prihodi iznosili su 6.661,46 EUR, dok u tekućoj godini iznose 47.510,98 EUR, što predstavlja povećanje u iznosu od 40.849,52 EUR, odnosno povećanje od 713,2%. Povećanje prihoda odnosi se na veće ostvarenje prihoda od komunalnog doprinosa u odnosu na prethodno izvještajno razdoblje. Navedeno povećanje rezultat je većeg broja obračuna i uplata komunalnog doprinosa, sukladno izvršenim obvezama obveznika plaćanja, čime je ostvaren značajniji prihod u proračunu.</w:t>
      </w:r>
    </w:p>
    <w:p w14:paraId="5D6251EE" w14:textId="77777777" w:rsidR="00A14A4D" w:rsidRDefault="00A14A4D"/>
    <w:p w14:paraId="1FEE0E60" w14:textId="77777777" w:rsidR="00A14A4D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14A4D" w14:paraId="252DDD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A3678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858E9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7A8C7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2B4BC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C4CFC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9264B2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4A4D" w14:paraId="37B4C56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97535C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65E4CA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06D04F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721FA6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24.397,19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34D893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81.344,28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65853A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333,4</w:t>
            </w:r>
          </w:p>
        </w:tc>
      </w:tr>
    </w:tbl>
    <w:p w14:paraId="2D06F21E" w14:textId="77777777" w:rsidR="00A14A4D" w:rsidRDefault="00A14A4D">
      <w:pPr>
        <w:spacing w:after="0"/>
      </w:pPr>
    </w:p>
    <w:p w14:paraId="7E83249D" w14:textId="77777777" w:rsidR="00A14A4D" w:rsidRDefault="00000000">
      <w:r>
        <w:t>Povećanje na kontu 3613 – Tekuće pomoći temeljem prijenosa sredstava proizlazi iz povećanja izvršenih rashoda u izvještajnom razdoblju. U prethodnoj godini ostvareni rashodi iznosili su 24.397,19 EUR, dok u tekućoj godini iznose 81.344,28 EUR, što predstavlja povećanje u iznosu od 56.947,09 EUR, odnosno povećanje od 333,4%. Povećanje rashoda odnosi se na provedbu aktivnosti vezanih uz suradnju na provedbi projekta uspostave javne usluge prijevoza putnika u cestovnom prometu na području Ličko-senjske županije te na sufinanciranje rada Centra za gospodarenje otpadom „Babina Gora“ za 2026. godinu. Navedena sredstva osigurana su radi izvršavanja obveza vezanih uz navedene projekte i aktivnosti od značaja za lokalnu i regionalnu zajednicu.</w:t>
      </w:r>
    </w:p>
    <w:p w14:paraId="08209253" w14:textId="77777777" w:rsidR="00A14A4D" w:rsidRDefault="00A14A4D"/>
    <w:p w14:paraId="649A3438" w14:textId="77777777" w:rsidR="00A14A4D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14A4D" w14:paraId="158E0B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23FC8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5A3AA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47997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795E9D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F6ED4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B5A90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4A4D" w14:paraId="66042B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695864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70BA46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A6EBA1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AA59B3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401C8A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102.962,50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93C547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514,8</w:t>
            </w:r>
          </w:p>
        </w:tc>
      </w:tr>
    </w:tbl>
    <w:p w14:paraId="48FC3D1F" w14:textId="77777777" w:rsidR="00A14A4D" w:rsidRDefault="00A14A4D">
      <w:pPr>
        <w:spacing w:after="0"/>
      </w:pPr>
    </w:p>
    <w:p w14:paraId="0FC1A64E" w14:textId="77777777" w:rsidR="00A14A4D" w:rsidRDefault="00000000">
      <w:r>
        <w:t xml:space="preserve">Na stavci 4262 – Ulaganja u računalne programe u izvještajnom razdoblju evidentirani su rashodi u iznosu od 102.962,50 EUR, dok su u istom razdoblju prethodne godine iznosili </w:t>
      </w:r>
      <w:r>
        <w:lastRenderedPageBreak/>
        <w:t>20.000,00 EUR, što predstavlja povećanje od 82.962,50 EUR, odnosno 514,8 %. Povećanje rashoda odnosi se na provedbu Kapitalnog projekta K102104 „Digitalni Otočac – put prema pametnom i održivom gradu“. U okviru navedenog projekta izvršena su ulaganja u računalne programe kao dio aktivnosti usmjerenih na digitalizaciju poslovnih procesa, modernizaciju informacijskog sustava te razvoj pametnih digitalnih rješenja radi unapređenja kvalitete i učinkovitosti pružanja javnih usluga.</w:t>
      </w:r>
    </w:p>
    <w:p w14:paraId="1315C239" w14:textId="77777777" w:rsidR="00A14A4D" w:rsidRDefault="00A14A4D"/>
    <w:p w14:paraId="44C8CDE9" w14:textId="77777777" w:rsidR="00A14A4D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6904F3D" w14:textId="77777777" w:rsidR="00A14A4D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A14A4D" w14:paraId="157FAD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CD111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2D6752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E18F15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3AC763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FFE1A2" w14:textId="77777777" w:rsidR="00A14A4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4A4D" w14:paraId="1FC81B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1935A" w14:textId="77777777" w:rsidR="00A14A4D" w:rsidRDefault="00A14A4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BECD7F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DE46E4" w14:textId="77777777" w:rsidR="00A14A4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529D27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63B29E" w14:textId="77777777" w:rsidR="00A14A4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AE287B0" w14:textId="77777777" w:rsidR="00A14A4D" w:rsidRDefault="00A14A4D">
      <w:pPr>
        <w:spacing w:after="0"/>
      </w:pPr>
    </w:p>
    <w:p w14:paraId="3F7C5BEE" w14:textId="77777777" w:rsidR="00A14A4D" w:rsidRDefault="00000000">
      <w:r>
        <w:t>U konsolidiranom financijskom izvještaju nisu iskazane dospjele nepodmirene obveze. Na dan sastavljanja izvještaja ni proračun ni proračunski korisnici nemaju dospjelih, a nepodmirenih obveza, te su sve obveze podmirene u ugovorenim odnosno zakonskim rokovima.</w:t>
      </w:r>
    </w:p>
    <w:p w14:paraId="20DF9001" w14:textId="77777777" w:rsidR="00A14A4D" w:rsidRDefault="00A14A4D"/>
    <w:p w14:paraId="3BA44856" w14:textId="77777777" w:rsidR="00A14A4D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p w14:paraId="2877DA25" w14:textId="0F9C0A68" w:rsidR="00A14A4D" w:rsidRDefault="00000000">
      <w:pPr>
        <w:spacing w:line="240" w:lineRule="auto"/>
        <w:jc w:val="both"/>
      </w:pPr>
      <w:r>
        <w:rPr>
          <w:b/>
        </w:rPr>
        <w:t>Unutar</w:t>
      </w:r>
      <w:r w:rsidR="000E2B2F">
        <w:rPr>
          <w:b/>
        </w:rPr>
        <w:t xml:space="preserve"> </w:t>
      </w:r>
      <w:r>
        <w:rPr>
          <w:b/>
        </w:rPr>
        <w:t>grupne transakcije koje su u izvještajima eliminirane</w:t>
      </w:r>
    </w:p>
    <w:p w14:paraId="18F87B2F" w14:textId="77777777" w:rsidR="00A14A4D" w:rsidRDefault="00000000">
      <w:r>
        <w:t>Unutar financijskog izvještaja eliminirane su unutar grupne transakcije: </w:t>
      </w:r>
    </w:p>
    <w:p w14:paraId="0F9A8754" w14:textId="77777777" w:rsidR="00A14A4D" w:rsidRDefault="00000000">
      <w:r>
        <w:t>6711 - Prihodi iz nadležnog proračuna za financiranje rashoda poslovanja u iznosu od 169.370,55€.</w:t>
      </w:r>
    </w:p>
    <w:p w14:paraId="36465F68" w14:textId="77777777" w:rsidR="00A14A4D" w:rsidRDefault="00A14A4D"/>
    <w:p w14:paraId="44C6F3F8" w14:textId="77777777" w:rsidR="00A14A4D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p w14:paraId="1F8A4D1C" w14:textId="77777777" w:rsidR="00A14A4D" w:rsidRDefault="0000000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17BCE0C0" w14:textId="77777777" w:rsidR="00A14A4D" w:rsidRDefault="00000000">
      <w:r>
        <w:t>U konsolidiranom financijskom izvještaju za izvještajno razdoblje ostvaren je ukupni višak poslovanja grupe u iznosu od 14.231,83 eura.</w:t>
      </w:r>
    </w:p>
    <w:p w14:paraId="4406D45B" w14:textId="77777777" w:rsidR="00A14A4D" w:rsidRDefault="00000000">
      <w:r>
        <w:t>Rezultat poslovanja po pojedinim proračunskim korisnicima je sljedeći:</w:t>
      </w:r>
    </w:p>
    <w:p w14:paraId="550D8026" w14:textId="77777777" w:rsidR="00A14A4D" w:rsidRDefault="00000000">
      <w:r>
        <w:t>Javna ustanova „Narodna knjižnica Otočac“ ostvarila je manjak poslovanja u tekućem razdoblju u iznosu od 4.147,73 eura.</w:t>
      </w:r>
      <w:r>
        <w:br/>
        <w:t>Dječji vrtić „</w:t>
      </w:r>
      <w:proofErr w:type="spellStart"/>
      <w:r>
        <w:t>Ciciban</w:t>
      </w:r>
      <w:proofErr w:type="spellEnd"/>
      <w:r>
        <w:t>“ Otočac ostvario je manjak poslovanja u tekućem razdoblju u iznosu od 20.061,72 eura.</w:t>
      </w:r>
      <w:r>
        <w:br/>
        <w:t>Gacko pučko otvoreno učilište Otočac ostvarilo je višak poslovanja u tekućem razdoblju u iznosu od 3.649,39 eura.</w:t>
      </w:r>
      <w:r>
        <w:br/>
      </w:r>
      <w:r>
        <w:lastRenderedPageBreak/>
        <w:t>Centar za pomoć u kući Grada Otočca ostvario je višak poslovanja u tekućem razdoblju u iznosu od 2.590,27 eura.</w:t>
      </w:r>
    </w:p>
    <w:p w14:paraId="01FA0A86" w14:textId="77777777" w:rsidR="00A14A4D" w:rsidRDefault="00000000">
      <w:r>
        <w:br/>
        <w:t>Ukupni konsolidirani rezultat poslovanja obuhvaća rezultat Grada Otočca i svih proračunskih korisnika uključenih u konsolidaciju te je utvrđen nakon provedenih konsolidacijskih usklađenja, odnosno isključenja međusobnih odnosa između proračuna i proračunskih korisnika.</w:t>
      </w:r>
    </w:p>
    <w:p w14:paraId="70726C8D" w14:textId="77777777" w:rsidR="00A14A4D" w:rsidRDefault="00A14A4D"/>
    <w:sectPr w:rsidR="00A14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621D6"/>
    <w:multiLevelType w:val="hybridMultilevel"/>
    <w:tmpl w:val="2A8EDD3C"/>
    <w:name w:val="decimal"/>
    <w:lvl w:ilvl="0" w:tplc="F8069476">
      <w:start w:val="1"/>
      <w:numFmt w:val="decimal"/>
      <w:lvlText w:val="%1."/>
      <w:lvlJc w:val="left"/>
      <w:pPr>
        <w:ind w:left="720" w:hanging="360"/>
      </w:pPr>
    </w:lvl>
    <w:lvl w:ilvl="1" w:tplc="F6B2D176">
      <w:start w:val="1"/>
      <w:numFmt w:val="decimal"/>
      <w:lvlText w:val="%2."/>
      <w:lvlJc w:val="left"/>
      <w:pPr>
        <w:ind w:left="1440" w:hanging="360"/>
      </w:pPr>
    </w:lvl>
    <w:lvl w:ilvl="2" w:tplc="52E2FF14">
      <w:start w:val="1"/>
      <w:numFmt w:val="decimal"/>
      <w:lvlText w:val="%3."/>
      <w:lvlJc w:val="left"/>
      <w:pPr>
        <w:ind w:left="2160" w:hanging="360"/>
      </w:pPr>
    </w:lvl>
    <w:lvl w:ilvl="3" w:tplc="364EDB9C">
      <w:start w:val="1"/>
      <w:numFmt w:val="decimal"/>
      <w:lvlText w:val="%4."/>
      <w:lvlJc w:val="left"/>
      <w:pPr>
        <w:ind w:left="2880" w:hanging="360"/>
      </w:pPr>
    </w:lvl>
    <w:lvl w:ilvl="4" w:tplc="7520EFD0">
      <w:start w:val="1"/>
      <w:numFmt w:val="decimal"/>
      <w:lvlText w:val="%5."/>
      <w:lvlJc w:val="left"/>
      <w:pPr>
        <w:ind w:left="3600" w:hanging="360"/>
      </w:pPr>
    </w:lvl>
    <w:lvl w:ilvl="5" w:tplc="89027924">
      <w:start w:val="1"/>
      <w:numFmt w:val="decimal"/>
      <w:lvlText w:val="%6."/>
      <w:lvlJc w:val="left"/>
      <w:pPr>
        <w:ind w:left="4320" w:hanging="360"/>
      </w:pPr>
    </w:lvl>
    <w:lvl w:ilvl="6" w:tplc="F2A66CFA">
      <w:start w:val="1"/>
      <w:numFmt w:val="decimal"/>
      <w:lvlText w:val="%7."/>
      <w:lvlJc w:val="left"/>
      <w:pPr>
        <w:ind w:left="5040" w:hanging="360"/>
      </w:pPr>
    </w:lvl>
    <w:lvl w:ilvl="7" w:tplc="2A2C2260">
      <w:start w:val="1"/>
      <w:numFmt w:val="decimal"/>
      <w:lvlText w:val="%8."/>
      <w:lvlJc w:val="left"/>
      <w:pPr>
        <w:ind w:left="5760" w:hanging="360"/>
      </w:pPr>
    </w:lvl>
    <w:lvl w:ilvl="8" w:tplc="149E5B5C">
      <w:start w:val="1"/>
      <w:numFmt w:val="decimal"/>
      <w:lvlText w:val="%9."/>
      <w:lvlJc w:val="left"/>
      <w:pPr>
        <w:ind w:left="6480" w:hanging="360"/>
      </w:pPr>
    </w:lvl>
  </w:abstractNum>
  <w:num w:numId="1" w16cid:durableId="3565905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A4D"/>
    <w:rsid w:val="000E2B2F"/>
    <w:rsid w:val="00274651"/>
    <w:rsid w:val="003C56D4"/>
    <w:rsid w:val="00A1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435C"/>
  <w15:docId w15:val="{1BBDA977-BE90-4BE6-8830-0CEA0728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1250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Grad Otočac</cp:lastModifiedBy>
  <cp:revision>3</cp:revision>
  <dcterms:created xsi:type="dcterms:W3CDTF">2026-08-06T07:04:00Z</dcterms:created>
  <dcterms:modified xsi:type="dcterms:W3CDTF">2026-08-06T07:06:00Z</dcterms:modified>
</cp:coreProperties>
</file>